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413"/>
        <w:gridCol w:w="1950"/>
        <w:gridCol w:w="1122"/>
        <w:gridCol w:w="2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4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413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六角皮带</w:t>
            </w:r>
          </w:p>
        </w:tc>
        <w:tc>
          <w:tcPr>
            <w:tcW w:w="1950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BB-3910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根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413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喷枪</w:t>
            </w:r>
          </w:p>
        </w:tc>
        <w:tc>
          <w:tcPr>
            <w:tcW w:w="1950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B型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把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413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碳化硼喷嘴</w:t>
            </w:r>
          </w:p>
        </w:tc>
        <w:tc>
          <w:tcPr>
            <w:tcW w:w="1950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80*20*8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个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413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棕刚玉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60-100目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413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集尘布袋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4英寸 90L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根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22181B"/>
    <w:rsid w:val="05DE1791"/>
    <w:rsid w:val="0BA50F69"/>
    <w:rsid w:val="175900FA"/>
    <w:rsid w:val="17B341ED"/>
    <w:rsid w:val="1BE73637"/>
    <w:rsid w:val="2911651F"/>
    <w:rsid w:val="2B175B1D"/>
    <w:rsid w:val="2DC04564"/>
    <w:rsid w:val="31C75214"/>
    <w:rsid w:val="37CA27C0"/>
    <w:rsid w:val="3D774A62"/>
    <w:rsid w:val="3DCE0209"/>
    <w:rsid w:val="43311E1D"/>
    <w:rsid w:val="4CE868D4"/>
    <w:rsid w:val="4E26006D"/>
    <w:rsid w:val="55936E96"/>
    <w:rsid w:val="578707D4"/>
    <w:rsid w:val="62106D23"/>
    <w:rsid w:val="697F5AFE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5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2022-03-16T03:21:33Z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E7033091A3B240F2BD11FBC11DEF59F1</vt:lpwstr>
  </property>
</Properties>
</file>